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0A18996B"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29657C">
        <w:rPr>
          <w:rFonts w:eastAsiaTheme="minorEastAsia" w:cs="Arial"/>
          <w:bCs/>
          <w:noProof w:val="0"/>
          <w:color w:val="000000" w:themeColor="text1"/>
          <w:sz w:val="22"/>
          <w:szCs w:val="22"/>
          <w:lang w:eastAsia="zh-CN"/>
        </w:rPr>
        <w:t>8</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3B7A3C" w:rsidRPr="003B7A3C">
        <w:rPr>
          <w:rFonts w:eastAsiaTheme="minorEastAsia" w:cs="Arial"/>
          <w:bCs/>
          <w:noProof w:val="0"/>
          <w:color w:val="000000" w:themeColor="text1"/>
          <w:sz w:val="22"/>
          <w:szCs w:val="22"/>
          <w:lang w:val="en-GB" w:eastAsia="zh-CN"/>
        </w:rPr>
        <w:t>2313056</w:t>
      </w:r>
    </w:p>
    <w:p w14:paraId="6A25EC1C" w14:textId="05CF5DDE" w:rsidR="00E07AF8" w:rsidRPr="006B21ED" w:rsidRDefault="009E5D9A" w:rsidP="00E07AF8">
      <w:pPr>
        <w:pStyle w:val="Header"/>
        <w:tabs>
          <w:tab w:val="right" w:pos="9639"/>
          <w:tab w:val="right" w:pos="13323"/>
        </w:tabs>
        <w:jc w:val="both"/>
        <w:rPr>
          <w:rFonts w:eastAsiaTheme="minorEastAsia" w:cs="Arial"/>
          <w:bCs/>
          <w:noProof w:val="0"/>
          <w:sz w:val="22"/>
          <w:szCs w:val="22"/>
          <w:lang w:eastAsia="zh-CN"/>
        </w:rPr>
      </w:pPr>
      <w:bookmarkStart w:id="2" w:name="_Hlk142642216"/>
      <w:r w:rsidRPr="00783124">
        <w:rPr>
          <w:rFonts w:eastAsiaTheme="minorEastAsia" w:cs="Arial"/>
          <w:bCs/>
          <w:noProof w:val="0"/>
          <w:sz w:val="22"/>
          <w:szCs w:val="22"/>
          <w:lang w:eastAsia="zh-CN"/>
        </w:rPr>
        <w:t>Toulouse, France meeting, August 21</w:t>
      </w:r>
      <w:r w:rsidRPr="00783124">
        <w:rPr>
          <w:rFonts w:eastAsiaTheme="minorEastAsia" w:cs="Arial"/>
          <w:bCs/>
          <w:noProof w:val="0"/>
          <w:sz w:val="22"/>
          <w:szCs w:val="22"/>
          <w:vertAlign w:val="superscript"/>
          <w:lang w:eastAsia="zh-CN"/>
        </w:rPr>
        <w:t xml:space="preserve">st </w:t>
      </w:r>
      <w:r w:rsidRPr="00783124">
        <w:rPr>
          <w:rFonts w:eastAsiaTheme="minorEastAsia" w:cs="Arial"/>
          <w:bCs/>
          <w:noProof w:val="0"/>
          <w:sz w:val="22"/>
          <w:szCs w:val="22"/>
          <w:lang w:eastAsia="zh-CN"/>
        </w:rPr>
        <w:t>– 25</w:t>
      </w:r>
      <w:r w:rsidRPr="00783124">
        <w:rPr>
          <w:rFonts w:eastAsiaTheme="minorEastAsia" w:cs="Arial"/>
          <w:bCs/>
          <w:noProof w:val="0"/>
          <w:sz w:val="22"/>
          <w:szCs w:val="22"/>
          <w:vertAlign w:val="superscript"/>
          <w:lang w:eastAsia="zh-CN"/>
        </w:rPr>
        <w:t>th</w:t>
      </w:r>
      <w:bookmarkEnd w:id="2"/>
      <w:r w:rsidR="000C1FFA" w:rsidRPr="00C12B3F">
        <w:rPr>
          <w:rFonts w:eastAsiaTheme="minorEastAsia" w:cs="Arial"/>
          <w:bCs/>
          <w:noProof w:val="0"/>
          <w:sz w:val="22"/>
          <w:szCs w:val="22"/>
          <w:lang w:eastAsia="zh-CN"/>
        </w:rPr>
        <w:t>,</w:t>
      </w:r>
      <w:r w:rsidR="000C1FFA" w:rsidRPr="001C6FE9">
        <w:rPr>
          <w:rFonts w:eastAsiaTheme="minorEastAsia" w:cs="Arial"/>
          <w:bCs/>
          <w:noProof w:val="0"/>
          <w:color w:val="000000" w:themeColor="text1"/>
          <w:sz w:val="22"/>
          <w:szCs w:val="22"/>
          <w:lang w:eastAsia="zh-CN"/>
        </w:rPr>
        <w:t xml:space="preserve"> </w:t>
      </w:r>
      <w:r w:rsidR="000C1FFA" w:rsidRPr="006B21ED">
        <w:rPr>
          <w:rFonts w:eastAsiaTheme="minorEastAsia" w:cs="Arial"/>
          <w:bCs/>
          <w:noProof w:val="0"/>
          <w:sz w:val="22"/>
          <w:szCs w:val="22"/>
          <w:lang w:eastAsia="zh-CN"/>
        </w:rPr>
        <w:t>202</w:t>
      </w:r>
      <w:r w:rsidR="000C1FFA">
        <w:rPr>
          <w:rFonts w:eastAsiaTheme="minorEastAsia" w:cs="Arial"/>
          <w:bCs/>
          <w:noProof w:val="0"/>
          <w:sz w:val="22"/>
          <w:szCs w:val="22"/>
          <w:lang w:eastAsia="zh-CN"/>
        </w:rPr>
        <w:t>3</w:t>
      </w:r>
    </w:p>
    <w:bookmarkEnd w:id="1"/>
    <w:p w14:paraId="4BDFE11D" w14:textId="43F2BAB9"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130192">
        <w:rPr>
          <w:rFonts w:eastAsiaTheme="minorEastAsia" w:cs="Arial"/>
          <w:bCs/>
          <w:noProof w:val="0"/>
          <w:sz w:val="22"/>
          <w:szCs w:val="22"/>
          <w:lang w:val="en-GB" w:eastAsia="zh-CN"/>
        </w:rPr>
        <w:t>8</w:t>
      </w:r>
      <w:r w:rsidR="007B120C" w:rsidRPr="007B120C">
        <w:rPr>
          <w:rFonts w:eastAsiaTheme="minorEastAsia" w:cs="Arial"/>
          <w:bCs/>
          <w:noProof w:val="0"/>
          <w:sz w:val="22"/>
          <w:szCs w:val="22"/>
          <w:lang w:val="en-GB" w:eastAsia="zh-CN"/>
        </w:rPr>
        <w:t>.1</w:t>
      </w:r>
      <w:r w:rsidR="002009A4">
        <w:rPr>
          <w:rFonts w:eastAsiaTheme="minorEastAsia" w:cs="Arial"/>
          <w:bCs/>
          <w:noProof w:val="0"/>
          <w:sz w:val="22"/>
          <w:szCs w:val="22"/>
          <w:lang w:val="en-GB" w:eastAsia="zh-CN"/>
        </w:rPr>
        <w:t>0</w:t>
      </w:r>
      <w:r w:rsidR="007B120C" w:rsidRPr="007B120C">
        <w:rPr>
          <w:rFonts w:eastAsiaTheme="minorEastAsia" w:cs="Arial"/>
          <w:bCs/>
          <w:noProof w:val="0"/>
          <w:sz w:val="22"/>
          <w:szCs w:val="22"/>
          <w:lang w:val="en-GB" w:eastAsia="zh-CN"/>
        </w:rPr>
        <w:t>.2.</w:t>
      </w:r>
      <w:r w:rsidR="009409BD">
        <w:rPr>
          <w:rFonts w:eastAsiaTheme="minorEastAsia" w:cs="Arial"/>
          <w:bCs/>
          <w:noProof w:val="0"/>
          <w:sz w:val="22"/>
          <w:szCs w:val="22"/>
          <w:lang w:val="en-GB" w:eastAsia="zh-CN"/>
        </w:rPr>
        <w:t>2</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0EEEA81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C5769C">
        <w:rPr>
          <w:rFonts w:eastAsiaTheme="minorEastAsia" w:cs="Arial"/>
          <w:bCs/>
          <w:noProof w:val="0"/>
          <w:sz w:val="22"/>
          <w:szCs w:val="22"/>
          <w:lang w:eastAsia="zh-CN"/>
        </w:rPr>
        <w:t xml:space="preserve">BWP </w:t>
      </w:r>
      <w:r w:rsidR="00C821D8">
        <w:rPr>
          <w:rFonts w:eastAsiaTheme="minorEastAsia" w:cs="Arial"/>
          <w:bCs/>
          <w:noProof w:val="0"/>
          <w:sz w:val="22"/>
          <w:szCs w:val="22"/>
          <w:lang w:eastAsia="zh-CN"/>
        </w:rPr>
        <w:t xml:space="preserve">operation </w:t>
      </w:r>
      <w:r w:rsidR="00C5769C">
        <w:rPr>
          <w:rFonts w:eastAsiaTheme="minorEastAsia" w:cs="Arial"/>
          <w:bCs/>
          <w:noProof w:val="0"/>
          <w:sz w:val="22"/>
          <w:szCs w:val="22"/>
          <w:lang w:eastAsia="zh-CN"/>
        </w:rPr>
        <w:t>without</w:t>
      </w:r>
      <w:r w:rsidR="00C821D8">
        <w:rPr>
          <w:rFonts w:eastAsiaTheme="minorEastAsia" w:cs="Arial"/>
          <w:bCs/>
          <w:noProof w:val="0"/>
          <w:sz w:val="22"/>
          <w:szCs w:val="22"/>
          <w:lang w:eastAsia="zh-CN"/>
        </w:rPr>
        <w:t xml:space="preserve"> BW</w:t>
      </w:r>
      <w:r w:rsidR="00C5769C">
        <w:rPr>
          <w:rFonts w:eastAsiaTheme="minorEastAsia" w:cs="Arial"/>
          <w:bCs/>
          <w:noProof w:val="0"/>
          <w:sz w:val="22"/>
          <w:szCs w:val="22"/>
          <w:lang w:eastAsia="zh-CN"/>
        </w:rPr>
        <w:t xml:space="preserve"> </w:t>
      </w:r>
      <w:r w:rsidR="00C821D8">
        <w:rPr>
          <w:rFonts w:eastAsiaTheme="minorEastAsia" w:cs="Arial"/>
          <w:bCs/>
          <w:noProof w:val="0"/>
          <w:sz w:val="22"/>
          <w:szCs w:val="22"/>
          <w:lang w:eastAsia="zh-CN"/>
        </w:rPr>
        <w:t>restrictions</w:t>
      </w:r>
      <w:r w:rsidR="001A454F">
        <w:rPr>
          <w:rFonts w:eastAsiaTheme="minorEastAsia" w:cs="Arial"/>
          <w:bCs/>
          <w:noProof w:val="0"/>
          <w:sz w:val="22"/>
          <w:szCs w:val="22"/>
          <w:lang w:eastAsia="zh-CN"/>
        </w:rPr>
        <w:t xml:space="preserve"> – Option </w:t>
      </w:r>
      <w:r w:rsidR="009409BD">
        <w:rPr>
          <w:rFonts w:eastAsiaTheme="minorEastAsia" w:cs="Arial"/>
          <w:bCs/>
          <w:noProof w:val="0"/>
          <w:sz w:val="22"/>
          <w:szCs w:val="22"/>
          <w:lang w:eastAsia="zh-CN"/>
        </w:rPr>
        <w:t>B-1-1</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3" w:name="_Ref118271349"/>
      <w:r w:rsidR="00EE7FA7" w:rsidRPr="006B21ED">
        <w:rPr>
          <w:rFonts w:ascii="Arial" w:hAnsi="Arial" w:cs="Arial"/>
        </w:rPr>
        <w:t>Introduction</w:t>
      </w:r>
      <w:bookmarkEnd w:id="3"/>
    </w:p>
    <w:p w14:paraId="2BC7964F" w14:textId="1D6C1D4A"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477647">
        <w:t>100</w:t>
      </w:r>
      <w:r w:rsidR="000B5FAA">
        <w:t xml:space="preserve"> and </w:t>
      </w:r>
      <w:r w:rsidR="00BE4793">
        <w:t>defined a new WI with objectives captured below</w:t>
      </w:r>
      <w:r w:rsidR="0005255B">
        <w:t xml:space="preserve"> </w:t>
      </w:r>
      <w:r w:rsidR="002B1C13">
        <w:fldChar w:fldCharType="begin"/>
      </w:r>
      <w:r w:rsidR="002B1C13">
        <w:instrText xml:space="preserve"> REF _Ref115358872 \r \h </w:instrText>
      </w:r>
      <w:r w:rsidR="002B1C13">
        <w:fldChar w:fldCharType="separate"/>
      </w:r>
      <w:r w:rsidR="007F4897">
        <w:t>[1]</w:t>
      </w:r>
      <w:r w:rsidR="002B1C13">
        <w:fldChar w:fldCharType="end"/>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176213A3" w14:textId="2C14DF9D" w:rsidR="0079270E" w:rsidRPr="009F526E" w:rsidRDefault="0079270E" w:rsidP="0079270E">
            <w:pPr>
              <w:pStyle w:val="Heading2"/>
              <w:numPr>
                <w:ilvl w:val="0"/>
                <w:numId w:val="0"/>
              </w:numPr>
              <w:ind w:left="576" w:hanging="576"/>
              <w:rPr>
                <w:rFonts w:asciiTheme="minorHAnsi" w:hAnsiTheme="minorHAnsi" w:cstheme="minorHAnsi"/>
                <w:b/>
                <w:bCs/>
                <w:sz w:val="22"/>
                <w:szCs w:val="22"/>
              </w:rPr>
            </w:pPr>
            <w:r w:rsidRPr="009F526E">
              <w:rPr>
                <w:rFonts w:asciiTheme="minorHAnsi" w:hAnsiTheme="minorHAnsi" w:cstheme="minorHAnsi"/>
                <w:b/>
                <w:bCs/>
                <w:sz w:val="22"/>
                <w:szCs w:val="22"/>
              </w:rPr>
              <w:t>Objective</w:t>
            </w:r>
          </w:p>
          <w:p w14:paraId="28980991" w14:textId="0F60425F" w:rsidR="0079270E" w:rsidRPr="002E5B9F" w:rsidRDefault="0079270E" w:rsidP="00631E72">
            <w:pPr>
              <w:pStyle w:val="Heading3"/>
              <w:numPr>
                <w:ilvl w:val="0"/>
                <w:numId w:val="0"/>
              </w:numPr>
              <w:ind w:left="576" w:hanging="576"/>
              <w:rPr>
                <w:rFonts w:asciiTheme="minorHAnsi" w:hAnsiTheme="minorHAnsi" w:cstheme="minorHAnsi"/>
                <w:color w:val="0000FF"/>
                <w:sz w:val="20"/>
              </w:rPr>
            </w:pPr>
            <w:r w:rsidRPr="009F526E">
              <w:rPr>
                <w:rFonts w:asciiTheme="minorHAnsi" w:hAnsiTheme="minorHAnsi" w:cstheme="minorHAnsi"/>
                <w:color w:val="0000FF"/>
                <w:sz w:val="22"/>
                <w:szCs w:val="22"/>
              </w:rPr>
              <w:t xml:space="preserve">Objective Core part WI </w:t>
            </w:r>
          </w:p>
          <w:p w14:paraId="0F8BB960" w14:textId="77777777" w:rsidR="002E5B9F" w:rsidRPr="002E5B9F" w:rsidRDefault="002E5B9F" w:rsidP="002E5B9F">
            <w:pPr>
              <w:pStyle w:val="Heading3"/>
              <w:numPr>
                <w:ilvl w:val="0"/>
                <w:numId w:val="0"/>
              </w:numPr>
              <w:ind w:left="576" w:hanging="576"/>
              <w:rPr>
                <w:rFonts w:asciiTheme="minorHAnsi" w:eastAsia="DengXian" w:hAnsiTheme="minorHAnsi" w:cstheme="minorHAnsi"/>
                <w:sz w:val="20"/>
                <w:lang w:val="en-US"/>
              </w:rPr>
            </w:pPr>
            <w:r w:rsidRPr="002E5B9F">
              <w:rPr>
                <w:rFonts w:asciiTheme="minorHAnsi" w:eastAsia="DengXian" w:hAnsiTheme="minorHAnsi" w:cstheme="minorHAnsi"/>
                <w:sz w:val="20"/>
                <w:lang w:val="en-US"/>
              </w:rPr>
              <w:t xml:space="preserve">The work item includes following objectives for non-Redcap UE: </w:t>
            </w:r>
          </w:p>
          <w:p w14:paraId="7E5361C0" w14:textId="77777777" w:rsidR="002E5B9F" w:rsidRPr="002E5B9F" w:rsidRDefault="002E5B9F" w:rsidP="002E5B9F">
            <w:pPr>
              <w:rPr>
                <w:rFonts w:eastAsia="Yu Mincho" w:cstheme="minorHAnsi"/>
                <w:sz w:val="20"/>
                <w:szCs w:val="20"/>
                <w:lang w:val="en-US"/>
              </w:rPr>
            </w:pPr>
            <w:r w:rsidRPr="002E5B9F">
              <w:rPr>
                <w:rFonts w:cstheme="minorHAnsi"/>
                <w:color w:val="000000"/>
                <w:sz w:val="20"/>
                <w:szCs w:val="20"/>
              </w:rPr>
              <w:t>1) Specify support for BM/RLM/BFD</w:t>
            </w:r>
            <w:r w:rsidRPr="002E5B9F">
              <w:rPr>
                <w:rFonts w:cstheme="minorHAnsi"/>
                <w:iCs/>
                <w:sz w:val="20"/>
                <w:szCs w:val="20"/>
              </w:rPr>
              <w:t>:</w:t>
            </w:r>
          </w:p>
          <w:p w14:paraId="0DFE90DC" w14:textId="77777777" w:rsidR="002E5B9F" w:rsidRPr="002E5B9F" w:rsidRDefault="002E5B9F" w:rsidP="002E5B9F">
            <w:pPr>
              <w:numPr>
                <w:ilvl w:val="0"/>
                <w:numId w:val="29"/>
              </w:numPr>
              <w:tabs>
                <w:tab w:val="clear" w:pos="360"/>
                <w:tab w:val="num" w:pos="1080"/>
              </w:tabs>
              <w:overflowPunct w:val="0"/>
              <w:autoSpaceDE w:val="0"/>
              <w:autoSpaceDN w:val="0"/>
              <w:adjustRightInd w:val="0"/>
              <w:spacing w:after="120" w:line="240" w:lineRule="auto"/>
              <w:ind w:left="1080"/>
              <w:textAlignment w:val="baseline"/>
              <w:rPr>
                <w:rFonts w:eastAsia="DengXian" w:cstheme="minorHAnsi"/>
                <w:sz w:val="20"/>
                <w:szCs w:val="20"/>
                <w:lang w:val="en-US"/>
              </w:rPr>
            </w:pPr>
            <w:r w:rsidRPr="002E5B9F">
              <w:rPr>
                <w:rFonts w:eastAsia="DengXian" w:cstheme="minorHAnsi"/>
                <w:sz w:val="20"/>
                <w:szCs w:val="20"/>
                <w:lang w:val="en-US"/>
              </w:rPr>
              <w:t>For Option B-1-1</w:t>
            </w:r>
          </w:p>
          <w:p w14:paraId="7A07FE64" w14:textId="77777777" w:rsidR="002E5B9F" w:rsidRPr="002E5B9F" w:rsidRDefault="002E5B9F" w:rsidP="002E5B9F">
            <w:pPr>
              <w:numPr>
                <w:ilvl w:val="1"/>
                <w:numId w:val="29"/>
              </w:numPr>
              <w:tabs>
                <w:tab w:val="clear" w:pos="1080"/>
                <w:tab w:val="num" w:pos="1800"/>
              </w:tabs>
              <w:overflowPunct w:val="0"/>
              <w:autoSpaceDE w:val="0"/>
              <w:autoSpaceDN w:val="0"/>
              <w:adjustRightInd w:val="0"/>
              <w:spacing w:after="120" w:line="240" w:lineRule="auto"/>
              <w:ind w:left="1800"/>
              <w:textAlignment w:val="baseline"/>
              <w:rPr>
                <w:rFonts w:eastAsia="DengXian" w:cstheme="minorHAnsi"/>
                <w:sz w:val="20"/>
                <w:szCs w:val="20"/>
                <w:lang w:val="en-US"/>
              </w:rPr>
            </w:pPr>
            <w:r w:rsidRPr="002E5B9F">
              <w:rPr>
                <w:rFonts w:eastAsia="DengXian" w:cstheme="minorHAnsi"/>
                <w:sz w:val="20"/>
                <w:szCs w:val="20"/>
                <w:lang w:val="en-US"/>
              </w:rPr>
              <w:t>Specify support of BM/RLM/BFD based on SSB outside the active BWP without interruptions (RAN4, RAN2, RAN1)</w:t>
            </w:r>
          </w:p>
          <w:p w14:paraId="719DA7FF" w14:textId="77777777" w:rsidR="002E5B9F" w:rsidRPr="002E5B9F" w:rsidRDefault="002E5B9F" w:rsidP="002E5B9F">
            <w:pPr>
              <w:spacing w:after="0"/>
              <w:rPr>
                <w:rFonts w:cstheme="minorHAnsi"/>
                <w:bCs/>
                <w:sz w:val="20"/>
                <w:szCs w:val="20"/>
                <w:lang w:eastAsia="ja-JP"/>
              </w:rPr>
            </w:pPr>
          </w:p>
          <w:p w14:paraId="4842C9B6" w14:textId="77777777" w:rsidR="002E5B9F" w:rsidRPr="002E5B9F" w:rsidRDefault="002E5B9F" w:rsidP="002E5B9F">
            <w:pPr>
              <w:spacing w:after="120"/>
              <w:rPr>
                <w:rFonts w:cstheme="minorHAnsi"/>
                <w:bCs/>
                <w:sz w:val="20"/>
                <w:szCs w:val="20"/>
                <w:lang w:eastAsia="ja-JP"/>
              </w:rPr>
            </w:pPr>
            <w:r w:rsidRPr="002E5B9F">
              <w:rPr>
                <w:rFonts w:cstheme="minorHAnsi"/>
                <w:bCs/>
                <w:sz w:val="20"/>
                <w:szCs w:val="20"/>
                <w:lang w:eastAsia="ja-JP"/>
              </w:rPr>
              <w:t xml:space="preserve">2) </w:t>
            </w:r>
            <w:r w:rsidRPr="002E5B9F">
              <w:rPr>
                <w:rFonts w:cstheme="minorHAnsi"/>
                <w:bCs/>
                <w:sz w:val="20"/>
                <w:szCs w:val="20"/>
                <w:lang w:val="en-US" w:eastAsia="ja-JP"/>
              </w:rPr>
              <w:t>Specify the necessary requirements to support L3 intra-frequency measurements without gaps (RAN4)</w:t>
            </w:r>
          </w:p>
          <w:p w14:paraId="4541307F" w14:textId="77777777" w:rsidR="002E5B9F" w:rsidRPr="002E5B9F" w:rsidRDefault="002E5B9F" w:rsidP="002E5B9F">
            <w:pPr>
              <w:numPr>
                <w:ilvl w:val="0"/>
                <w:numId w:val="29"/>
              </w:numPr>
              <w:tabs>
                <w:tab w:val="clear" w:pos="360"/>
                <w:tab w:val="num" w:pos="1080"/>
              </w:tabs>
              <w:overflowPunct w:val="0"/>
              <w:autoSpaceDE w:val="0"/>
              <w:autoSpaceDN w:val="0"/>
              <w:adjustRightInd w:val="0"/>
              <w:spacing w:after="120" w:line="240" w:lineRule="auto"/>
              <w:ind w:left="1080"/>
              <w:textAlignment w:val="baseline"/>
              <w:rPr>
                <w:rFonts w:eastAsia="DengXian" w:cstheme="minorHAnsi"/>
                <w:sz w:val="20"/>
                <w:szCs w:val="20"/>
                <w:lang w:val="en-US"/>
              </w:rPr>
            </w:pPr>
            <w:r w:rsidRPr="002E5B9F">
              <w:rPr>
                <w:rFonts w:eastAsia="DengXian" w:cstheme="minorHAnsi"/>
                <w:sz w:val="20"/>
                <w:szCs w:val="20"/>
                <w:lang w:val="en-US"/>
              </w:rPr>
              <w:t>For Option B-1-1</w:t>
            </w:r>
          </w:p>
          <w:p w14:paraId="70EE48C2" w14:textId="77777777" w:rsidR="002E5B9F" w:rsidRPr="002E5B9F" w:rsidRDefault="002E5B9F" w:rsidP="002E5B9F">
            <w:pPr>
              <w:numPr>
                <w:ilvl w:val="1"/>
                <w:numId w:val="29"/>
              </w:numPr>
              <w:tabs>
                <w:tab w:val="clear" w:pos="1080"/>
                <w:tab w:val="num" w:pos="1800"/>
              </w:tabs>
              <w:overflowPunct w:val="0"/>
              <w:autoSpaceDE w:val="0"/>
              <w:autoSpaceDN w:val="0"/>
              <w:adjustRightInd w:val="0"/>
              <w:spacing w:after="120" w:line="240" w:lineRule="auto"/>
              <w:ind w:left="1800"/>
              <w:textAlignment w:val="baseline"/>
              <w:rPr>
                <w:rFonts w:eastAsia="DengXian" w:cstheme="minorHAnsi"/>
                <w:sz w:val="20"/>
                <w:szCs w:val="20"/>
                <w:lang w:val="en-US"/>
              </w:rPr>
            </w:pPr>
            <w:r w:rsidRPr="002E5B9F">
              <w:rPr>
                <w:rFonts w:eastAsia="DengXian" w:cstheme="minorHAnsi"/>
                <w:sz w:val="20"/>
                <w:szCs w:val="20"/>
                <w:lang w:val="en-US"/>
              </w:rPr>
              <w:t>Specify applicability of legacy intra-frequency L3 measurements without gap and corresponding UE capabilities, if needed.</w:t>
            </w:r>
          </w:p>
          <w:p w14:paraId="006A2567" w14:textId="77777777" w:rsidR="002E5B9F" w:rsidRPr="002E5B9F" w:rsidRDefault="002E5B9F" w:rsidP="002E5B9F">
            <w:pPr>
              <w:numPr>
                <w:ilvl w:val="1"/>
                <w:numId w:val="29"/>
              </w:numPr>
              <w:tabs>
                <w:tab w:val="clear" w:pos="1080"/>
                <w:tab w:val="num" w:pos="1800"/>
              </w:tabs>
              <w:overflowPunct w:val="0"/>
              <w:autoSpaceDE w:val="0"/>
              <w:autoSpaceDN w:val="0"/>
              <w:adjustRightInd w:val="0"/>
              <w:spacing w:after="120" w:line="240" w:lineRule="auto"/>
              <w:ind w:left="1800"/>
              <w:textAlignment w:val="baseline"/>
              <w:rPr>
                <w:rFonts w:eastAsia="DengXian" w:cstheme="minorHAnsi"/>
                <w:sz w:val="20"/>
                <w:szCs w:val="20"/>
                <w:lang w:val="en-US"/>
              </w:rPr>
            </w:pPr>
            <w:r w:rsidRPr="002E5B9F">
              <w:rPr>
                <w:rFonts w:eastAsia="DengXian" w:cstheme="minorHAnsi"/>
                <w:sz w:val="20"/>
                <w:szCs w:val="20"/>
                <w:lang w:val="en-US"/>
              </w:rPr>
              <w:t>Note: UEs capable of Option B-1-1 BWP operation can optionally support L3 intra-frequency measurements with gaps.</w:t>
            </w:r>
          </w:p>
          <w:p w14:paraId="1CE2EF42" w14:textId="1FC958B7" w:rsidR="000B5FAA" w:rsidRPr="002E5B9F" w:rsidRDefault="002E5B9F" w:rsidP="002E5B9F">
            <w:pPr>
              <w:spacing w:after="0"/>
              <w:rPr>
                <w:rFonts w:eastAsia="Microsoft YaHei" w:cstheme="minorHAnsi"/>
                <w:sz w:val="20"/>
                <w:szCs w:val="20"/>
              </w:rPr>
            </w:pPr>
            <w:r w:rsidRPr="002E5B9F">
              <w:rPr>
                <w:rFonts w:eastAsia="Microsoft YaHei" w:cstheme="minorHAnsi"/>
                <w:sz w:val="20"/>
                <w:szCs w:val="20"/>
              </w:rPr>
              <w:t>The expected RAN2 impacts are the RRC configuration signalling for the above options, and the capability signalling aspects.</w:t>
            </w:r>
          </w:p>
        </w:tc>
      </w:tr>
    </w:tbl>
    <w:p w14:paraId="189CBA26" w14:textId="702ED596" w:rsidR="002A7349" w:rsidRPr="00BC73EE" w:rsidRDefault="00E76B8B" w:rsidP="00BC73EE">
      <w:pPr>
        <w:jc w:val="both"/>
      </w:pPr>
      <w:r>
        <w:t>In previous meetings, RAN4 already made agreements on requirements for RLM/BFD/BM measurements. I</w:t>
      </w:r>
      <w:r w:rsidR="00347DA0">
        <w:t xml:space="preserve">n </w:t>
      </w:r>
      <w:r w:rsidR="00BC1625">
        <w:t xml:space="preserve">this contribution paper, we provide </w:t>
      </w:r>
      <w:r w:rsidR="00EC7030">
        <w:t xml:space="preserve">discussion on </w:t>
      </w:r>
      <w:r w:rsidR="004A039F">
        <w:t>how to s</w:t>
      </w:r>
      <w:r w:rsidR="004A039F" w:rsidRPr="004A039F">
        <w:t xml:space="preserve">pecify support of </w:t>
      </w:r>
      <w:r w:rsidRPr="00E76B8B">
        <w:t>L3 intra-frequency measurements</w:t>
      </w:r>
      <w:r w:rsidR="00683E95">
        <w:t xml:space="preserve"> based on</w:t>
      </w:r>
      <w:r w:rsidR="00683E95" w:rsidRPr="004A039F">
        <w:t xml:space="preserve"> SSB outside the active BWP</w:t>
      </w:r>
      <w:r w:rsidRPr="00E76B8B">
        <w:t xml:space="preserve"> without gaps</w:t>
      </w:r>
      <w:r>
        <w:t xml:space="preserve"> and </w:t>
      </w:r>
      <w:r w:rsidR="004A039F" w:rsidRPr="004A039F">
        <w:t>without interruptions</w:t>
      </w:r>
      <w:r w:rsidR="00BC1625">
        <w:t>.</w:t>
      </w:r>
      <w:r w:rsidR="00081243" w:rsidRPr="00081243">
        <w:t xml:space="preserve"> </w:t>
      </w:r>
    </w:p>
    <w:p w14:paraId="0FECC10D" w14:textId="63910291" w:rsidR="001D43C9" w:rsidRDefault="00440D0E" w:rsidP="00440D0E">
      <w:pPr>
        <w:pStyle w:val="Heading1"/>
        <w:numPr>
          <w:ilvl w:val="0"/>
          <w:numId w:val="1"/>
        </w:numPr>
        <w:jc w:val="both"/>
        <w:rPr>
          <w:rFonts w:ascii="Arial" w:hAnsi="Arial" w:cs="Arial"/>
        </w:rPr>
      </w:pPr>
      <w:r>
        <w:rPr>
          <w:rFonts w:ascii="Arial" w:hAnsi="Arial" w:cs="Arial"/>
        </w:rPr>
        <w:t xml:space="preserve">Discussion on </w:t>
      </w:r>
      <w:r w:rsidR="001D43C9">
        <w:rPr>
          <w:rFonts w:ascii="Arial" w:hAnsi="Arial" w:cs="Arial"/>
        </w:rPr>
        <w:t xml:space="preserve">RRM requirements </w:t>
      </w:r>
    </w:p>
    <w:p w14:paraId="02D66587" w14:textId="09573E7A" w:rsidR="006043ED" w:rsidRDefault="006043ED" w:rsidP="001D43C9">
      <w:pPr>
        <w:jc w:val="both"/>
      </w:pPr>
      <w:r w:rsidRPr="0079270E">
        <w:t xml:space="preserve">RAN4 has discussed the </w:t>
      </w:r>
      <w:r>
        <w:t>requirements applicability for</w:t>
      </w:r>
      <w:r w:rsidRPr="0079270E">
        <w:t xml:space="preserve"> Option </w:t>
      </w:r>
      <w:r>
        <w:t>B-1-1</w:t>
      </w:r>
      <w:r w:rsidRPr="0079270E">
        <w:t xml:space="preserve"> in the previous meeting R4#</w:t>
      </w:r>
      <w:r w:rsidR="00073E86">
        <w:t>107</w:t>
      </w:r>
      <w:r w:rsidRPr="0079270E">
        <w:t xml:space="preserve"> RAN4 reached the following </w:t>
      </w:r>
      <w:r>
        <w:t>way forward</w:t>
      </w:r>
      <w:r w:rsidR="0018014E">
        <w:t xml:space="preserve"> </w:t>
      </w:r>
      <w:r w:rsidR="0018014E">
        <w:fldChar w:fldCharType="begin"/>
      </w:r>
      <w:r w:rsidR="0018014E">
        <w:instrText xml:space="preserve"> REF _Ref118284665 \r \h </w:instrText>
      </w:r>
      <w:r w:rsidR="0018014E">
        <w:fldChar w:fldCharType="separate"/>
      </w:r>
      <w:r w:rsidR="007F4897">
        <w:t>[2]</w:t>
      </w:r>
      <w:r w:rsidR="0018014E">
        <w:fldChar w:fldCharType="end"/>
      </w:r>
      <w:r>
        <w:t>:</w:t>
      </w:r>
    </w:p>
    <w:tbl>
      <w:tblPr>
        <w:tblStyle w:val="TableGrid"/>
        <w:tblW w:w="0" w:type="auto"/>
        <w:tblLook w:val="04A0" w:firstRow="1" w:lastRow="0" w:firstColumn="1" w:lastColumn="0" w:noHBand="0" w:noVBand="1"/>
      </w:tblPr>
      <w:tblGrid>
        <w:gridCol w:w="9629"/>
      </w:tblGrid>
      <w:tr w:rsidR="006043ED" w14:paraId="58BCD935" w14:textId="77777777" w:rsidTr="006043ED">
        <w:tc>
          <w:tcPr>
            <w:tcW w:w="9629" w:type="dxa"/>
          </w:tcPr>
          <w:p w14:paraId="4226387D" w14:textId="77777777" w:rsidR="00A378C9" w:rsidRPr="00A378C9" w:rsidRDefault="00A378C9" w:rsidP="00A378C9">
            <w:pPr>
              <w:outlineLvl w:val="3"/>
              <w:rPr>
                <w:b/>
                <w:color w:val="000000" w:themeColor="text1"/>
                <w:sz w:val="20"/>
                <w:szCs w:val="20"/>
                <w:u w:val="single"/>
                <w:lang w:eastAsia="ko-KR"/>
              </w:rPr>
            </w:pPr>
            <w:r w:rsidRPr="00A378C9">
              <w:rPr>
                <w:b/>
                <w:color w:val="000000" w:themeColor="text1"/>
                <w:sz w:val="20"/>
                <w:szCs w:val="20"/>
                <w:u w:val="single"/>
                <w:lang w:eastAsia="ko-KR"/>
              </w:rPr>
              <w:t>Issue 3-3: Clarification on existing timing requirements for supporting Option B-1-1</w:t>
            </w:r>
          </w:p>
          <w:p w14:paraId="4F51F318" w14:textId="77777777" w:rsidR="00A378C9" w:rsidRPr="00A378C9" w:rsidRDefault="00A378C9" w:rsidP="00A378C9">
            <w:pPr>
              <w:pStyle w:val="ListParagraph"/>
              <w:numPr>
                <w:ilvl w:val="0"/>
                <w:numId w:val="9"/>
              </w:numPr>
              <w:spacing w:after="120" w:line="240" w:lineRule="auto"/>
              <w:ind w:left="720"/>
              <w:contextualSpacing w:val="0"/>
              <w:rPr>
                <w:rFonts w:eastAsia="SimSun"/>
                <w:color w:val="000000" w:themeColor="text1"/>
                <w:sz w:val="20"/>
              </w:rPr>
            </w:pPr>
            <w:r w:rsidRPr="00A378C9">
              <w:rPr>
                <w:rFonts w:eastAsia="SimSun"/>
                <w:color w:val="000000" w:themeColor="text1"/>
                <w:sz w:val="20"/>
              </w:rPr>
              <w:t>Follow conclusion of issue 2-2.</w:t>
            </w:r>
          </w:p>
          <w:p w14:paraId="15E7B7D6" w14:textId="77777777" w:rsidR="00A378C9" w:rsidRPr="00A378C9" w:rsidRDefault="00A378C9" w:rsidP="00A378C9">
            <w:pPr>
              <w:spacing w:after="120"/>
              <w:rPr>
                <w:color w:val="000000" w:themeColor="text1"/>
                <w:sz w:val="20"/>
              </w:rPr>
            </w:pPr>
          </w:p>
          <w:p w14:paraId="75845798" w14:textId="77777777" w:rsidR="00A378C9" w:rsidRPr="00A378C9" w:rsidRDefault="00A378C9" w:rsidP="00A378C9">
            <w:pPr>
              <w:outlineLvl w:val="3"/>
              <w:rPr>
                <w:b/>
                <w:color w:val="000000" w:themeColor="text1"/>
                <w:sz w:val="20"/>
                <w:szCs w:val="20"/>
                <w:u w:val="single"/>
                <w:lang w:eastAsia="ko-KR"/>
              </w:rPr>
            </w:pPr>
            <w:r w:rsidRPr="00A378C9">
              <w:rPr>
                <w:b/>
                <w:color w:val="000000" w:themeColor="text1"/>
                <w:sz w:val="20"/>
                <w:szCs w:val="20"/>
                <w:u w:val="single"/>
                <w:lang w:eastAsia="ko-KR"/>
              </w:rPr>
              <w:t>Issue 3-7: Whether to define additional requirements for supporting option B-1-1</w:t>
            </w:r>
          </w:p>
          <w:p w14:paraId="71214DAA" w14:textId="77777777" w:rsidR="00A378C9" w:rsidRPr="00A378C9" w:rsidRDefault="00A378C9" w:rsidP="00A378C9">
            <w:pPr>
              <w:spacing w:afterLines="50" w:after="120"/>
              <w:rPr>
                <w:color w:val="000000" w:themeColor="text1"/>
                <w:sz w:val="20"/>
              </w:rPr>
            </w:pPr>
            <w:r w:rsidRPr="00A378C9">
              <w:rPr>
                <w:b/>
                <w:bCs/>
                <w:color w:val="0070C0"/>
                <w:sz w:val="20"/>
              </w:rPr>
              <w:t xml:space="preserve">&lt;Agreement &gt;: </w:t>
            </w:r>
          </w:p>
          <w:p w14:paraId="25AD5EE2" w14:textId="77777777" w:rsidR="00A378C9" w:rsidRPr="00A378C9" w:rsidRDefault="00A378C9" w:rsidP="00A378C9">
            <w:pPr>
              <w:pStyle w:val="ListParagraph"/>
              <w:numPr>
                <w:ilvl w:val="0"/>
                <w:numId w:val="9"/>
              </w:numPr>
              <w:spacing w:after="120" w:line="240" w:lineRule="auto"/>
              <w:ind w:left="720"/>
              <w:contextualSpacing w:val="0"/>
              <w:rPr>
                <w:rFonts w:eastAsia="SimSun"/>
                <w:color w:val="000000" w:themeColor="text1"/>
                <w:sz w:val="20"/>
              </w:rPr>
            </w:pPr>
            <w:r w:rsidRPr="00A378C9">
              <w:rPr>
                <w:rFonts w:eastAsia="SimSun"/>
                <w:color w:val="000000" w:themeColor="text1"/>
                <w:sz w:val="20"/>
              </w:rPr>
              <w:t xml:space="preserve">Do not introduce new UE and </w:t>
            </w:r>
            <w:proofErr w:type="spellStart"/>
            <w:r w:rsidRPr="00A378C9">
              <w:rPr>
                <w:rFonts w:eastAsia="SimSun"/>
                <w:color w:val="000000" w:themeColor="text1"/>
                <w:sz w:val="20"/>
              </w:rPr>
              <w:t>gNB</w:t>
            </w:r>
            <w:proofErr w:type="spellEnd"/>
            <w:r w:rsidRPr="00A378C9">
              <w:rPr>
                <w:rFonts w:eastAsia="SimSun"/>
                <w:color w:val="000000" w:themeColor="text1"/>
                <w:sz w:val="20"/>
              </w:rPr>
              <w:t xml:space="preserve"> behaviour for option B-1-1 in RAN4 spec. It is up to UE and </w:t>
            </w:r>
            <w:proofErr w:type="spellStart"/>
            <w:r w:rsidRPr="00A378C9">
              <w:rPr>
                <w:rFonts w:eastAsia="SimSun"/>
                <w:color w:val="000000" w:themeColor="text1"/>
                <w:sz w:val="20"/>
              </w:rPr>
              <w:t>gNB</w:t>
            </w:r>
            <w:proofErr w:type="spellEnd"/>
            <w:r w:rsidRPr="00A378C9">
              <w:rPr>
                <w:rFonts w:eastAsia="SimSun"/>
                <w:color w:val="000000" w:themeColor="text1"/>
                <w:sz w:val="20"/>
              </w:rPr>
              <w:t xml:space="preserve"> implementation how option B-1-1 is supported. </w:t>
            </w:r>
          </w:p>
          <w:p w14:paraId="794B4C59" w14:textId="1F7D6E9B" w:rsidR="006043ED" w:rsidRPr="00A378C9" w:rsidRDefault="00A378C9" w:rsidP="00A378C9">
            <w:pPr>
              <w:pStyle w:val="ListParagraph"/>
              <w:numPr>
                <w:ilvl w:val="0"/>
                <w:numId w:val="9"/>
              </w:numPr>
              <w:spacing w:after="120" w:line="240" w:lineRule="auto"/>
              <w:ind w:left="720"/>
              <w:contextualSpacing w:val="0"/>
              <w:rPr>
                <w:rFonts w:eastAsia="SimSun"/>
                <w:color w:val="000000" w:themeColor="text1"/>
                <w:szCs w:val="24"/>
              </w:rPr>
            </w:pPr>
            <w:r w:rsidRPr="00A378C9">
              <w:rPr>
                <w:rFonts w:eastAsia="SimSun"/>
                <w:color w:val="000000" w:themeColor="text1"/>
                <w:sz w:val="20"/>
              </w:rPr>
              <w:t>Do not introduce a new section for RRM requirements for option B-1-1.</w:t>
            </w:r>
          </w:p>
        </w:tc>
      </w:tr>
    </w:tbl>
    <w:p w14:paraId="1A625EEA" w14:textId="5321247C" w:rsidR="006043ED" w:rsidRDefault="00A378C9" w:rsidP="001D43C9">
      <w:pPr>
        <w:jc w:val="both"/>
      </w:pPr>
      <w:r>
        <w:rPr>
          <w:b/>
          <w:color w:val="000000" w:themeColor="text1"/>
          <w:sz w:val="20"/>
          <w:szCs w:val="20"/>
          <w:u w:val="single"/>
          <w:lang w:eastAsia="ko-KR"/>
        </w:rPr>
        <w:lastRenderedPageBreak/>
        <w:t xml:space="preserve">Regarding </w:t>
      </w:r>
      <w:r w:rsidRPr="00A378C9">
        <w:rPr>
          <w:b/>
          <w:color w:val="000000" w:themeColor="text1"/>
          <w:sz w:val="20"/>
          <w:szCs w:val="20"/>
          <w:u w:val="single"/>
          <w:lang w:eastAsia="ko-KR"/>
        </w:rPr>
        <w:t>L3 intra-frequency measurements</w:t>
      </w:r>
      <w:r w:rsidR="000F7EA6" w:rsidRPr="006043ED">
        <w:rPr>
          <w:b/>
          <w:color w:val="000000" w:themeColor="text1"/>
          <w:sz w:val="20"/>
          <w:szCs w:val="20"/>
          <w:u w:val="single"/>
          <w:lang w:eastAsia="ko-KR"/>
        </w:rPr>
        <w:t>:</w:t>
      </w:r>
    </w:p>
    <w:p w14:paraId="759A23C3" w14:textId="3C40F197" w:rsidR="006043ED" w:rsidRDefault="003147AC" w:rsidP="001D43C9">
      <w:pPr>
        <w:jc w:val="both"/>
      </w:pPr>
      <w:r w:rsidRPr="003147AC">
        <w:t xml:space="preserve">The existing RAN4 requirements specify that the UE </w:t>
      </w:r>
      <w:r w:rsidR="00B81E44">
        <w:t>can use measurement gaps or interruption</w:t>
      </w:r>
      <w:r w:rsidRPr="003147AC">
        <w:t xml:space="preserve"> to perform </w:t>
      </w:r>
      <w:r w:rsidR="00B81E44" w:rsidRPr="00B81E44">
        <w:t xml:space="preserve">L3 intra-frequency measurements </w:t>
      </w:r>
      <w:r w:rsidRPr="003147AC">
        <w:t xml:space="preserve">outside the active BWP. </w:t>
      </w:r>
      <w:r w:rsidR="00FC6A4A">
        <w:t>However</w:t>
      </w:r>
      <w:r w:rsidR="005B0B23">
        <w:t>,</w:t>
      </w:r>
      <w:r w:rsidR="005B0B23" w:rsidRPr="005B0B23">
        <w:t xml:space="preserve"> </w:t>
      </w:r>
      <w:r w:rsidR="005B0B23">
        <w:t xml:space="preserve">in the previous RAN plenary #100, a new objective was added to the revised WI to allow the UE to perform </w:t>
      </w:r>
      <w:r w:rsidR="005B0B23" w:rsidRPr="00B81E44">
        <w:t xml:space="preserve">L3 intra-frequency measurements </w:t>
      </w:r>
      <w:r w:rsidR="005B0B23">
        <w:t xml:space="preserve">based SSB outside the active BWP. To our understanding, the existing requirements for </w:t>
      </w:r>
      <w:r w:rsidR="005B0B23" w:rsidRPr="00B81E44">
        <w:t xml:space="preserve">L3 intra-frequency measurements </w:t>
      </w:r>
      <w:r w:rsidR="005B0B23">
        <w:t>can be reused and hence RAN4 needs to update the applicability.</w:t>
      </w:r>
    </w:p>
    <w:p w14:paraId="21C899E5" w14:textId="3C989EF7" w:rsidR="004173DE" w:rsidRPr="000F7EA6" w:rsidRDefault="007F4897" w:rsidP="004173DE">
      <w:pPr>
        <w:pStyle w:val="ListParagraph"/>
        <w:numPr>
          <w:ilvl w:val="0"/>
          <w:numId w:val="5"/>
        </w:numPr>
        <w:spacing w:after="180"/>
        <w:contextualSpacing w:val="0"/>
        <w:jc w:val="both"/>
        <w:rPr>
          <w:rFonts w:ascii="Times New Roman" w:hAnsi="Times New Roman" w:cs="Times New Roman"/>
          <w:sz w:val="20"/>
          <w:szCs w:val="20"/>
        </w:rPr>
      </w:pPr>
      <w:bookmarkStart w:id="4" w:name="_Ref127463711"/>
      <w:r>
        <w:rPr>
          <w:rFonts w:cstheme="minorHAnsi"/>
          <w:b/>
          <w:lang w:eastAsia="ko-KR"/>
        </w:rPr>
        <w:t xml:space="preserve">For UE capable of supporting Option B-1-1 capability, </w:t>
      </w:r>
      <w:r w:rsidR="005B0B23">
        <w:rPr>
          <w:rFonts w:cstheme="minorHAnsi"/>
          <w:b/>
          <w:lang w:eastAsia="ko-KR"/>
        </w:rPr>
        <w:t xml:space="preserve">the requirements in section 9.2.5 for </w:t>
      </w:r>
      <w:r w:rsidR="005B0B23" w:rsidRPr="005B0B23">
        <w:rPr>
          <w:rFonts w:cstheme="minorHAnsi"/>
          <w:b/>
          <w:lang w:eastAsia="ko-KR"/>
        </w:rPr>
        <w:t>Intra</w:t>
      </w:r>
      <w:r w:rsidR="00F46ADE">
        <w:rPr>
          <w:rFonts w:cstheme="minorHAnsi"/>
          <w:b/>
          <w:lang w:eastAsia="ko-KR"/>
        </w:rPr>
        <w:t>-</w:t>
      </w:r>
      <w:r w:rsidR="005B0B23" w:rsidRPr="005B0B23">
        <w:rPr>
          <w:rFonts w:cstheme="minorHAnsi"/>
          <w:b/>
          <w:lang w:eastAsia="ko-KR"/>
        </w:rPr>
        <w:t>frequency measurements without measurement gaps</w:t>
      </w:r>
      <w:r w:rsidR="005B0B23">
        <w:rPr>
          <w:rFonts w:cstheme="minorHAnsi"/>
          <w:b/>
          <w:lang w:eastAsia="ko-KR"/>
        </w:rPr>
        <w:t xml:space="preserve"> are applicable with CD-SSB outside the active BWP with no changes required</w:t>
      </w:r>
      <w:r w:rsidR="00744CFA">
        <w:rPr>
          <w:rFonts w:cstheme="minorHAnsi"/>
          <w:b/>
          <w:lang w:eastAsia="ko-KR"/>
        </w:rPr>
        <w:t>.</w:t>
      </w:r>
      <w:bookmarkEnd w:id="4"/>
    </w:p>
    <w:p w14:paraId="27337A84" w14:textId="39819492" w:rsidR="00687E4C" w:rsidRPr="00687E4C" w:rsidRDefault="00687E4C" w:rsidP="00A378C9">
      <w:pPr>
        <w:pStyle w:val="ListParagraph"/>
        <w:spacing w:after="180"/>
        <w:ind w:left="0"/>
        <w:contextualSpacing w:val="0"/>
        <w:jc w:val="both"/>
        <w:rPr>
          <w:rFonts w:cstheme="minorHAnsi"/>
          <w:b/>
          <w:lang w:eastAsia="ko-KR"/>
        </w:rPr>
      </w:pPr>
      <w:r w:rsidRPr="00687E4C">
        <w:rPr>
          <w:rFonts w:cstheme="minorHAnsi"/>
          <w:b/>
          <w:lang w:eastAsia="ko-KR"/>
        </w:rPr>
        <w:t xml:space="preserve"> </w:t>
      </w: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5" w:name="_Ref92572437"/>
    </w:p>
    <w:p w14:paraId="174EE7AC" w14:textId="5472F0B4" w:rsidR="00ED605C" w:rsidRDefault="00440D0E" w:rsidP="00D636E8">
      <w:pPr>
        <w:jc w:val="both"/>
        <w:rPr>
          <w:b/>
          <w:bCs/>
        </w:rPr>
      </w:pPr>
      <w:r w:rsidRPr="00440D0E">
        <w:rPr>
          <w:b/>
          <w:bCs/>
        </w:rPr>
        <w:fldChar w:fldCharType="begin"/>
      </w:r>
      <w:r w:rsidRPr="00440D0E">
        <w:rPr>
          <w:b/>
          <w:bCs/>
        </w:rPr>
        <w:instrText xml:space="preserve"> REF _Ref127463711 \r \h </w:instrText>
      </w:r>
      <w:r>
        <w:rPr>
          <w:b/>
          <w:bCs/>
        </w:rPr>
        <w:instrText xml:space="preserve"> \* MERGEFORMAT </w:instrText>
      </w:r>
      <w:r w:rsidRPr="00440D0E">
        <w:rPr>
          <w:b/>
          <w:bCs/>
        </w:rPr>
      </w:r>
      <w:r w:rsidRPr="00440D0E">
        <w:rPr>
          <w:b/>
          <w:bCs/>
        </w:rPr>
        <w:fldChar w:fldCharType="separate"/>
      </w:r>
      <w:r w:rsidR="007F4897">
        <w:rPr>
          <w:b/>
          <w:bCs/>
        </w:rPr>
        <w:t>Proposal 1:</w:t>
      </w:r>
      <w:r w:rsidRPr="00440D0E">
        <w:rPr>
          <w:b/>
          <w:bCs/>
        </w:rPr>
        <w:fldChar w:fldCharType="end"/>
      </w:r>
      <w:r w:rsidRPr="00440D0E">
        <w:rPr>
          <w:b/>
          <w:bCs/>
        </w:rPr>
        <w:t xml:space="preserve"> </w:t>
      </w:r>
      <w:r w:rsidRPr="00440D0E">
        <w:rPr>
          <w:b/>
          <w:bCs/>
        </w:rPr>
        <w:fldChar w:fldCharType="begin"/>
      </w:r>
      <w:r w:rsidRPr="00440D0E">
        <w:rPr>
          <w:b/>
          <w:bCs/>
        </w:rPr>
        <w:instrText xml:space="preserve"> REF _Ref127463711 \h </w:instrText>
      </w:r>
      <w:r>
        <w:rPr>
          <w:b/>
          <w:bCs/>
        </w:rPr>
        <w:instrText xml:space="preserve"> \* MERGEFORMAT </w:instrText>
      </w:r>
      <w:r w:rsidRPr="00440D0E">
        <w:rPr>
          <w:b/>
          <w:bCs/>
        </w:rPr>
      </w:r>
      <w:r w:rsidRPr="00440D0E">
        <w:rPr>
          <w:b/>
          <w:bCs/>
        </w:rPr>
        <w:fldChar w:fldCharType="separate"/>
      </w:r>
      <w:r w:rsidR="007F4897" w:rsidRPr="007F4897">
        <w:rPr>
          <w:rFonts w:cstheme="minorHAnsi"/>
          <w:b/>
          <w:bCs/>
          <w:lang w:eastAsia="ko-KR"/>
        </w:rPr>
        <w:t>the</w:t>
      </w:r>
      <w:r w:rsidR="007F4897">
        <w:rPr>
          <w:rFonts w:cstheme="minorHAnsi"/>
          <w:b/>
          <w:lang w:eastAsia="ko-KR"/>
        </w:rPr>
        <w:t xml:space="preserve"> requirements in section 9.2.5 for </w:t>
      </w:r>
      <w:proofErr w:type="spellStart"/>
      <w:r w:rsidR="007F4897" w:rsidRPr="005B0B23">
        <w:rPr>
          <w:rFonts w:cstheme="minorHAnsi"/>
          <w:b/>
          <w:lang w:eastAsia="ko-KR"/>
        </w:rPr>
        <w:t>Intrafrequency</w:t>
      </w:r>
      <w:proofErr w:type="spellEnd"/>
      <w:r w:rsidR="007F4897" w:rsidRPr="005B0B23">
        <w:rPr>
          <w:rFonts w:cstheme="minorHAnsi"/>
          <w:b/>
          <w:lang w:eastAsia="ko-KR"/>
        </w:rPr>
        <w:t xml:space="preserve"> measurements without measurement gaps</w:t>
      </w:r>
      <w:r w:rsidR="007F4897">
        <w:rPr>
          <w:rFonts w:cstheme="minorHAnsi"/>
          <w:b/>
          <w:lang w:eastAsia="ko-KR"/>
        </w:rPr>
        <w:t xml:space="preserve"> are applicable with CD-SSB outside the active BWP with no changes required.</w:t>
      </w:r>
      <w:r w:rsidRPr="00440D0E">
        <w:rPr>
          <w:b/>
          <w:bCs/>
        </w:rPr>
        <w:fldChar w:fldCharType="end"/>
      </w:r>
    </w:p>
    <w:p w14:paraId="1B5FFFEE" w14:textId="230A8D06" w:rsidR="00195CF4" w:rsidRPr="00440D0E" w:rsidRDefault="00195CF4" w:rsidP="00D636E8">
      <w:pPr>
        <w:jc w:val="both"/>
        <w:rPr>
          <w:b/>
          <w:bCs/>
        </w:rPr>
      </w:pPr>
    </w:p>
    <w:bookmarkEnd w:id="5"/>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79917A59" w14:textId="207CC9C3" w:rsidR="000E1285" w:rsidRDefault="0012574C" w:rsidP="000E1285">
      <w:pPr>
        <w:pStyle w:val="ListParagraph"/>
        <w:numPr>
          <w:ilvl w:val="0"/>
          <w:numId w:val="4"/>
        </w:numPr>
        <w:jc w:val="both"/>
        <w:rPr>
          <w:rFonts w:cstheme="minorHAnsi"/>
          <w:color w:val="000000"/>
        </w:rPr>
      </w:pPr>
      <w:bookmarkStart w:id="6" w:name="_Ref115358872"/>
      <w:r>
        <w:rPr>
          <w:rFonts w:cstheme="minorHAnsi"/>
          <w:color w:val="000000"/>
        </w:rPr>
        <w:t>RP-</w:t>
      </w:r>
      <w:r w:rsidR="002E5B9F" w:rsidRPr="00FF7BCB">
        <w:rPr>
          <w:rFonts w:cstheme="minorHAnsi"/>
          <w:bCs/>
          <w:color w:val="000000"/>
        </w:rPr>
        <w:t>231486</w:t>
      </w:r>
      <w:r w:rsidR="002E5B9F" w:rsidRPr="00560F8D">
        <w:rPr>
          <w:rFonts w:cstheme="minorHAnsi"/>
          <w:bCs/>
          <w:color w:val="000000"/>
        </w:rPr>
        <w:t xml:space="preserve">, “New WID: Complete the specification support for </w:t>
      </w:r>
      <w:proofErr w:type="spellStart"/>
      <w:r w:rsidR="002E5B9F" w:rsidRPr="00560F8D">
        <w:rPr>
          <w:rFonts w:cstheme="minorHAnsi"/>
          <w:bCs/>
          <w:color w:val="000000"/>
        </w:rPr>
        <w:t>BandWidth</w:t>
      </w:r>
      <w:proofErr w:type="spellEnd"/>
      <w:r w:rsidR="002E5B9F" w:rsidRPr="00560F8D">
        <w:rPr>
          <w:rFonts w:cstheme="minorHAnsi"/>
          <w:bCs/>
          <w:color w:val="000000"/>
        </w:rPr>
        <w:t xml:space="preserve"> Part operation without restriction in NR”,</w:t>
      </w:r>
      <w:r w:rsidR="002E5B9F">
        <w:rPr>
          <w:rFonts w:cstheme="minorHAnsi"/>
          <w:color w:val="000000"/>
        </w:rPr>
        <w:t xml:space="preserve"> Vodafone, vivo, </w:t>
      </w:r>
      <w:r w:rsidR="002E5B9F" w:rsidRPr="00FF7BCB">
        <w:rPr>
          <w:rFonts w:cstheme="minorHAnsi"/>
          <w:color w:val="000000"/>
        </w:rPr>
        <w:t>Taipei, Taiwan</w:t>
      </w:r>
      <w:r w:rsidR="002E5B9F">
        <w:rPr>
          <w:rFonts w:cstheme="minorHAnsi"/>
          <w:color w:val="000000"/>
        </w:rPr>
        <w:t xml:space="preserve">, </w:t>
      </w:r>
      <w:r w:rsidR="009538BE">
        <w:rPr>
          <w:rFonts w:cstheme="minorHAnsi"/>
          <w:color w:val="000000"/>
        </w:rPr>
        <w:t>June</w:t>
      </w:r>
      <w:r w:rsidR="002E5B9F">
        <w:rPr>
          <w:rFonts w:cstheme="minorHAnsi"/>
          <w:color w:val="000000"/>
        </w:rPr>
        <w:t xml:space="preserve"> 2023</w:t>
      </w:r>
      <w:r>
        <w:rPr>
          <w:rFonts w:cstheme="minorHAnsi"/>
          <w:color w:val="000000"/>
        </w:rPr>
        <w:t>.</w:t>
      </w:r>
      <w:bookmarkEnd w:id="6"/>
    </w:p>
    <w:p w14:paraId="460F47F4" w14:textId="5268F00D" w:rsidR="0012574C" w:rsidRPr="000E1285" w:rsidRDefault="000E1285" w:rsidP="000E1285">
      <w:pPr>
        <w:pStyle w:val="ListParagraph"/>
        <w:numPr>
          <w:ilvl w:val="0"/>
          <w:numId w:val="4"/>
        </w:numPr>
        <w:jc w:val="both"/>
        <w:rPr>
          <w:rFonts w:cstheme="minorHAnsi"/>
          <w:color w:val="000000"/>
        </w:rPr>
      </w:pPr>
      <w:bookmarkStart w:id="7" w:name="_Ref118284665"/>
      <w:r w:rsidRPr="00751201">
        <w:rPr>
          <w:rFonts w:cstheme="minorHAnsi"/>
          <w:color w:val="000000"/>
        </w:rPr>
        <w:t>R4-</w:t>
      </w:r>
      <w:r w:rsidR="00261940" w:rsidRPr="00B33DBE">
        <w:rPr>
          <w:rFonts w:cstheme="minorHAnsi"/>
          <w:color w:val="000000"/>
        </w:rPr>
        <w:t>2310176</w:t>
      </w:r>
      <w:r w:rsidR="00261940" w:rsidRPr="00751201">
        <w:rPr>
          <w:rFonts w:cstheme="minorHAnsi"/>
          <w:color w:val="000000"/>
        </w:rPr>
        <w:t>, “</w:t>
      </w:r>
      <w:r w:rsidR="00261940" w:rsidRPr="00B33DBE">
        <w:rPr>
          <w:rFonts w:cstheme="minorHAnsi"/>
          <w:color w:val="000000"/>
        </w:rPr>
        <w:t>WF on NR BWP operation without restriction</w:t>
      </w:r>
      <w:r w:rsidR="00261940" w:rsidRPr="00751201">
        <w:rPr>
          <w:rFonts w:cstheme="minorHAnsi"/>
          <w:color w:val="000000"/>
        </w:rPr>
        <w:t xml:space="preserve">”, vivo, </w:t>
      </w:r>
      <w:r w:rsidR="00261940" w:rsidRPr="00E861C0">
        <w:rPr>
          <w:rFonts w:cstheme="minorHAnsi"/>
          <w:color w:val="000000"/>
        </w:rPr>
        <w:t xml:space="preserve">Incheon, KR, May </w:t>
      </w:r>
      <w:r w:rsidR="00261940" w:rsidRPr="00751201">
        <w:rPr>
          <w:rFonts w:cstheme="minorHAnsi"/>
          <w:color w:val="000000"/>
        </w:rPr>
        <w:t>2023</w:t>
      </w:r>
      <w:r w:rsidRPr="00751201">
        <w:rPr>
          <w:rFonts w:cstheme="minorHAnsi"/>
          <w:color w:val="000000"/>
        </w:rPr>
        <w:t>.</w:t>
      </w:r>
      <w:bookmarkEnd w:id="7"/>
    </w:p>
    <w:sectPr w:rsidR="0012574C" w:rsidRPr="000E128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4A6A2" w14:textId="77777777" w:rsidR="00CC746F" w:rsidRDefault="00CC746F">
      <w:r>
        <w:separator/>
      </w:r>
    </w:p>
  </w:endnote>
  <w:endnote w:type="continuationSeparator" w:id="0">
    <w:p w14:paraId="7FF5AE6A" w14:textId="77777777" w:rsidR="00CC746F" w:rsidRDefault="00CC7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9BB47" w14:textId="77777777" w:rsidR="00CC746F" w:rsidRDefault="00CC746F">
      <w:r>
        <w:separator/>
      </w:r>
    </w:p>
  </w:footnote>
  <w:footnote w:type="continuationSeparator" w:id="0">
    <w:p w14:paraId="4BF87FFA" w14:textId="77777777" w:rsidR="00CC746F" w:rsidRDefault="00CC74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95240472">
    <w:abstractNumId w:val="23"/>
  </w:num>
  <w:num w:numId="2" w16cid:durableId="2076051958">
    <w:abstractNumId w:val="9"/>
  </w:num>
  <w:num w:numId="3" w16cid:durableId="414323038">
    <w:abstractNumId w:val="12"/>
  </w:num>
  <w:num w:numId="4" w16cid:durableId="1789734868">
    <w:abstractNumId w:val="22"/>
  </w:num>
  <w:num w:numId="5" w16cid:durableId="1840341691">
    <w:abstractNumId w:val="2"/>
  </w:num>
  <w:num w:numId="6" w16cid:durableId="2027248405">
    <w:abstractNumId w:val="10"/>
  </w:num>
  <w:num w:numId="7" w16cid:durableId="454953897">
    <w:abstractNumId w:val="6"/>
  </w:num>
  <w:num w:numId="8" w16cid:durableId="215316259">
    <w:abstractNumId w:val="25"/>
  </w:num>
  <w:num w:numId="9" w16cid:durableId="492531726">
    <w:abstractNumId w:val="18"/>
  </w:num>
  <w:num w:numId="10" w16cid:durableId="951285811">
    <w:abstractNumId w:val="4"/>
  </w:num>
  <w:num w:numId="11" w16cid:durableId="412549394">
    <w:abstractNumId w:val="27"/>
  </w:num>
  <w:num w:numId="12" w16cid:durableId="814298945">
    <w:abstractNumId w:val="3"/>
  </w:num>
  <w:num w:numId="13" w16cid:durableId="118493844">
    <w:abstractNumId w:val="15"/>
  </w:num>
  <w:num w:numId="14" w16cid:durableId="1372920759">
    <w:abstractNumId w:val="24"/>
  </w:num>
  <w:num w:numId="15" w16cid:durableId="2063283729">
    <w:abstractNumId w:val="0"/>
  </w:num>
  <w:num w:numId="16" w16cid:durableId="471483650">
    <w:abstractNumId w:val="26"/>
  </w:num>
  <w:num w:numId="17" w16cid:durableId="2141798706">
    <w:abstractNumId w:val="17"/>
  </w:num>
  <w:num w:numId="18" w16cid:durableId="1651053908">
    <w:abstractNumId w:val="14"/>
  </w:num>
  <w:num w:numId="19" w16cid:durableId="2039038462">
    <w:abstractNumId w:val="1"/>
  </w:num>
  <w:num w:numId="20" w16cid:durableId="1835100571">
    <w:abstractNumId w:val="21"/>
  </w:num>
  <w:num w:numId="21" w16cid:durableId="1352562625">
    <w:abstractNumId w:val="20"/>
  </w:num>
  <w:num w:numId="22" w16cid:durableId="1108163642">
    <w:abstractNumId w:val="11"/>
  </w:num>
  <w:num w:numId="23" w16cid:durableId="186722775">
    <w:abstractNumId w:val="28"/>
  </w:num>
  <w:num w:numId="24" w16cid:durableId="1261177162">
    <w:abstractNumId w:val="13"/>
  </w:num>
  <w:num w:numId="25" w16cid:durableId="1945385353">
    <w:abstractNumId w:val="5"/>
  </w:num>
  <w:num w:numId="26" w16cid:durableId="690495273">
    <w:abstractNumId w:val="19"/>
  </w:num>
  <w:num w:numId="27" w16cid:durableId="690423184">
    <w:abstractNumId w:val="7"/>
  </w:num>
  <w:num w:numId="28" w16cid:durableId="1375496289">
    <w:abstractNumId w:val="16"/>
  </w:num>
  <w:num w:numId="29" w16cid:durableId="557787004">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8FD"/>
    <w:rsid w:val="00005F34"/>
    <w:rsid w:val="000061C4"/>
    <w:rsid w:val="000065E7"/>
    <w:rsid w:val="0000673D"/>
    <w:rsid w:val="000069CB"/>
    <w:rsid w:val="00006FDF"/>
    <w:rsid w:val="0000708A"/>
    <w:rsid w:val="0000719E"/>
    <w:rsid w:val="000074C4"/>
    <w:rsid w:val="000074D1"/>
    <w:rsid w:val="00007C1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0DA5"/>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E86"/>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2F26"/>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1FFA"/>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285"/>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0F7EA6"/>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192"/>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820"/>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77BE8"/>
    <w:rsid w:val="001800E8"/>
    <w:rsid w:val="0018014E"/>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F4"/>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1F7EC1"/>
    <w:rsid w:val="0020044D"/>
    <w:rsid w:val="0020051C"/>
    <w:rsid w:val="002009A4"/>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E5"/>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C47"/>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940"/>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698"/>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6C4"/>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57C"/>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B9F"/>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7AC"/>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150"/>
    <w:rsid w:val="003B75B2"/>
    <w:rsid w:val="003B79BE"/>
    <w:rsid w:val="003B7A3C"/>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9CB"/>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647"/>
    <w:rsid w:val="00477719"/>
    <w:rsid w:val="004777D8"/>
    <w:rsid w:val="00477DB3"/>
    <w:rsid w:val="00477E9B"/>
    <w:rsid w:val="00477FEB"/>
    <w:rsid w:val="0048041A"/>
    <w:rsid w:val="004805B4"/>
    <w:rsid w:val="00480C33"/>
    <w:rsid w:val="00480C41"/>
    <w:rsid w:val="00481019"/>
    <w:rsid w:val="00481AA4"/>
    <w:rsid w:val="00481CE7"/>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39F"/>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B23"/>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3ED"/>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3E95"/>
    <w:rsid w:val="006840BB"/>
    <w:rsid w:val="006844CD"/>
    <w:rsid w:val="00684D22"/>
    <w:rsid w:val="006853C5"/>
    <w:rsid w:val="00685557"/>
    <w:rsid w:val="00686365"/>
    <w:rsid w:val="0068651A"/>
    <w:rsid w:val="00686A14"/>
    <w:rsid w:val="00686D11"/>
    <w:rsid w:val="00687081"/>
    <w:rsid w:val="00687331"/>
    <w:rsid w:val="0068771B"/>
    <w:rsid w:val="00687811"/>
    <w:rsid w:val="00687E4C"/>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D38"/>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2F7C"/>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6787E"/>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97"/>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853"/>
    <w:rsid w:val="00885A57"/>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4A5"/>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4C7"/>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993"/>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9BD"/>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38BE"/>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60B"/>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CF"/>
    <w:rsid w:val="009C7DE2"/>
    <w:rsid w:val="009D0004"/>
    <w:rsid w:val="009D04C3"/>
    <w:rsid w:val="009D087D"/>
    <w:rsid w:val="009D0A68"/>
    <w:rsid w:val="009D0D3B"/>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5D9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26E"/>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8C9"/>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1C9D"/>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98C"/>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1E44"/>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1BD8"/>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914"/>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93"/>
    <w:rsid w:val="00BE4808"/>
    <w:rsid w:val="00BE484A"/>
    <w:rsid w:val="00BE4934"/>
    <w:rsid w:val="00BE4C2A"/>
    <w:rsid w:val="00BE4CCA"/>
    <w:rsid w:val="00BE4ED4"/>
    <w:rsid w:val="00BE55B5"/>
    <w:rsid w:val="00BE5682"/>
    <w:rsid w:val="00BE5980"/>
    <w:rsid w:val="00BE60EE"/>
    <w:rsid w:val="00BE610F"/>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5A30"/>
    <w:rsid w:val="00BF658E"/>
    <w:rsid w:val="00BF6646"/>
    <w:rsid w:val="00BF6780"/>
    <w:rsid w:val="00BF6AE5"/>
    <w:rsid w:val="00BF6D94"/>
    <w:rsid w:val="00BF6DE5"/>
    <w:rsid w:val="00BF6DF6"/>
    <w:rsid w:val="00BF76EB"/>
    <w:rsid w:val="00BF7E9B"/>
    <w:rsid w:val="00BF7FE5"/>
    <w:rsid w:val="00C002AB"/>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54"/>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5E5B"/>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46F"/>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A19"/>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182E"/>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21F"/>
    <w:rsid w:val="00DD355D"/>
    <w:rsid w:val="00DD35A7"/>
    <w:rsid w:val="00DD3898"/>
    <w:rsid w:val="00DD3CBA"/>
    <w:rsid w:val="00DD3D1C"/>
    <w:rsid w:val="00DD4B58"/>
    <w:rsid w:val="00DD4FB3"/>
    <w:rsid w:val="00DD55E0"/>
    <w:rsid w:val="00DD5CCF"/>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83C"/>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6B8B"/>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178"/>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07C"/>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3C81"/>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ADE"/>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0B"/>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4A"/>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A3C"/>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B7A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7A3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BB4914"/>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2950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2023-08-11T18:38:00Z</dcterms:created>
  <dcterms:modified xsi:type="dcterms:W3CDTF">2023-08-11T18:38:00Z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